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795CDD">
      <w:pPr>
        <w:widowControl/>
        <w:autoSpaceDE/>
        <w:autoSpaceDN/>
        <w:spacing w:after="120" w:line="312"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1A79B181" w:rsidR="006166ED" w:rsidRDefault="00795CDD" w:rsidP="00795CDD">
      <w:pPr>
        <w:widowControl/>
        <w:autoSpaceDE/>
        <w:autoSpaceDN/>
        <w:spacing w:line="312" w:lineRule="auto"/>
        <w:ind w:right="2600"/>
        <w:rPr>
          <w:rFonts w:ascii="Arial" w:eastAsia="Times New Roman" w:hAnsi="Arial" w:cs="Arial"/>
          <w:lang w:bidi="ar-SA"/>
        </w:rPr>
      </w:pPr>
      <w:r w:rsidRPr="00795CDD">
        <w:rPr>
          <w:rFonts w:ascii="Arial" w:eastAsia="Times New Roman" w:hAnsi="Arial" w:cs="Arial"/>
          <w:lang w:bidi="ar-SA"/>
        </w:rPr>
        <w:t>To ensure appropriate safeguards are in place for the safety of patients receiving telemedicine services</w:t>
      </w:r>
      <w:r w:rsidR="00195899">
        <w:rPr>
          <w:rFonts w:ascii="Arial" w:eastAsia="Times New Roman" w:hAnsi="Arial" w:cs="Arial"/>
          <w:lang w:bidi="ar-SA"/>
        </w:rPr>
        <w:t>.</w:t>
      </w:r>
    </w:p>
    <w:p w14:paraId="1B43DC96" w14:textId="77777777" w:rsidR="00A13CFE" w:rsidRPr="00795CDD" w:rsidRDefault="00A13CFE" w:rsidP="00795CDD">
      <w:pPr>
        <w:widowControl/>
        <w:autoSpaceDE/>
        <w:autoSpaceDN/>
        <w:spacing w:line="312" w:lineRule="auto"/>
        <w:ind w:right="2600"/>
        <w:rPr>
          <w:rFonts w:ascii="Arial" w:eastAsia="Times New Roman" w:hAnsi="Arial" w:cs="Arial"/>
          <w:lang w:bidi="ar-SA"/>
        </w:rPr>
      </w:pPr>
    </w:p>
    <w:p w14:paraId="66D679F8" w14:textId="77777777" w:rsidR="006166ED" w:rsidRPr="006166ED" w:rsidRDefault="006166ED" w:rsidP="00795CDD">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3CFC706" w14:textId="426FD186" w:rsidR="00A13CFE" w:rsidRDefault="00795CDD" w:rsidP="00795CDD">
      <w:pPr>
        <w:widowControl/>
        <w:autoSpaceDE/>
        <w:autoSpaceDN/>
        <w:spacing w:line="312" w:lineRule="auto"/>
        <w:rPr>
          <w:rFonts w:ascii="Arial" w:eastAsia="Times New Roman" w:hAnsi="Arial" w:cs="Arial"/>
          <w:lang w:bidi="ar-SA"/>
        </w:rPr>
      </w:pPr>
      <w:r w:rsidRPr="00795CDD">
        <w:rPr>
          <w:rFonts w:ascii="Arial" w:eastAsia="Times New Roman" w:hAnsi="Arial" w:cs="Arial"/>
          <w:lang w:bidi="ar-SA"/>
        </w:rPr>
        <w:t>The practice will ensure that patients receiving telemedicine services will receive the same standard of care as in an in-person visit and will be safe physically, mentally, and emotionally throughout the telemedicine visit</w:t>
      </w:r>
      <w:r w:rsidR="00E42ECD">
        <w:rPr>
          <w:rFonts w:ascii="Arial" w:eastAsia="Times New Roman" w:hAnsi="Arial" w:cs="Arial"/>
          <w:lang w:bidi="ar-SA"/>
        </w:rPr>
        <w:t>.</w:t>
      </w:r>
    </w:p>
    <w:p w14:paraId="079D3FA6" w14:textId="77777777" w:rsidR="00E42ECD" w:rsidRPr="00795CDD" w:rsidRDefault="00E42ECD" w:rsidP="00795CDD">
      <w:pPr>
        <w:widowControl/>
        <w:autoSpaceDE/>
        <w:autoSpaceDN/>
        <w:spacing w:line="312" w:lineRule="auto"/>
        <w:rPr>
          <w:rFonts w:ascii="Arial" w:eastAsia="Times New Roman" w:hAnsi="Arial" w:cs="Arial"/>
          <w:lang w:bidi="ar-SA"/>
        </w:rPr>
      </w:pPr>
      <w:bookmarkStart w:id="0" w:name="_GoBack"/>
      <w:bookmarkEnd w:id="0"/>
    </w:p>
    <w:p w14:paraId="48FFF289" w14:textId="77777777" w:rsidR="006166ED" w:rsidRPr="006166ED" w:rsidRDefault="006166ED" w:rsidP="00795CDD">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2DBC97E3" w14:textId="77777777" w:rsidR="00795CDD" w:rsidRPr="00795CDD" w:rsidRDefault="00795CDD" w:rsidP="00795CDD">
      <w:pPr>
        <w:pStyle w:val="ListParagraph"/>
        <w:widowControl/>
        <w:numPr>
          <w:ilvl w:val="0"/>
          <w:numId w:val="12"/>
        </w:numPr>
        <w:autoSpaceDE/>
        <w:autoSpaceDN/>
        <w:spacing w:after="120" w:line="312" w:lineRule="auto"/>
        <w:ind w:left="360"/>
        <w:contextualSpacing/>
        <w:rPr>
          <w:rFonts w:ascii="Arial" w:eastAsia="Times New Roman" w:hAnsi="Arial" w:cs="Arial"/>
          <w:lang w:bidi="ar-SA"/>
        </w:rPr>
      </w:pPr>
      <w:r w:rsidRPr="00795CDD">
        <w:rPr>
          <w:rFonts w:ascii="Arial" w:hAnsi="Arial" w:cs="Arial"/>
        </w:rPr>
        <w:t>If there is a real or perceived threat to the patient when the patient is located off site (e.g. home) during a telemedicine visit:</w:t>
      </w:r>
    </w:p>
    <w:p w14:paraId="371BBB07" w14:textId="77777777" w:rsidR="00795CDD" w:rsidRPr="00795CDD" w:rsidRDefault="00795CDD" w:rsidP="00795CDD">
      <w:pPr>
        <w:pStyle w:val="ListParagraph"/>
        <w:widowControl/>
        <w:numPr>
          <w:ilvl w:val="0"/>
          <w:numId w:val="13"/>
        </w:numPr>
        <w:autoSpaceDE/>
        <w:autoSpaceDN/>
        <w:spacing w:after="120" w:line="312" w:lineRule="auto"/>
        <w:ind w:left="720"/>
        <w:contextualSpacing/>
        <w:rPr>
          <w:rFonts w:ascii="Arial" w:hAnsi="Arial" w:cs="Arial"/>
        </w:rPr>
      </w:pPr>
      <w:r w:rsidRPr="00795CDD">
        <w:rPr>
          <w:rFonts w:ascii="Arial" w:hAnsi="Arial" w:cs="Arial"/>
        </w:rPr>
        <w:t>The provider or staff contact emergency personnel, and law enforcement if needed.</w:t>
      </w:r>
    </w:p>
    <w:p w14:paraId="3DE2D409" w14:textId="77777777" w:rsidR="00795CDD" w:rsidRPr="00795CDD" w:rsidRDefault="00795CDD" w:rsidP="00795CDD">
      <w:pPr>
        <w:pStyle w:val="ListParagraph"/>
        <w:widowControl/>
        <w:numPr>
          <w:ilvl w:val="0"/>
          <w:numId w:val="13"/>
        </w:numPr>
        <w:autoSpaceDE/>
        <w:autoSpaceDN/>
        <w:spacing w:after="120" w:line="312" w:lineRule="auto"/>
        <w:ind w:left="720"/>
        <w:contextualSpacing/>
        <w:rPr>
          <w:rFonts w:ascii="Arial" w:hAnsi="Arial" w:cs="Arial"/>
        </w:rPr>
      </w:pPr>
      <w:r w:rsidRPr="00795CDD">
        <w:rPr>
          <w:rFonts w:ascii="Arial" w:hAnsi="Arial" w:cs="Arial"/>
        </w:rPr>
        <w:t>If possible, the provider or staff maintain contact with the patient until emergency personnel arrive to provide any information requested.</w:t>
      </w:r>
    </w:p>
    <w:p w14:paraId="41ED249A" w14:textId="77777777" w:rsidR="00795CDD" w:rsidRPr="00795CDD" w:rsidRDefault="00795CDD" w:rsidP="00795CDD">
      <w:pPr>
        <w:pStyle w:val="ListParagraph"/>
        <w:widowControl/>
        <w:numPr>
          <w:ilvl w:val="0"/>
          <w:numId w:val="14"/>
        </w:numPr>
        <w:autoSpaceDE/>
        <w:autoSpaceDN/>
        <w:spacing w:after="120" w:line="312" w:lineRule="auto"/>
        <w:ind w:left="360"/>
        <w:contextualSpacing/>
        <w:rPr>
          <w:rFonts w:ascii="Arial" w:hAnsi="Arial" w:cs="Arial"/>
        </w:rPr>
      </w:pPr>
      <w:r w:rsidRPr="00795CDD">
        <w:rPr>
          <w:rFonts w:ascii="Arial" w:hAnsi="Arial" w:cs="Arial"/>
        </w:rPr>
        <w:t>If there is a real or perceived threat to the patient when the patient is located at the practice (serving as the originating site) during a telemedicine visit:</w:t>
      </w:r>
    </w:p>
    <w:p w14:paraId="41A1FECA" w14:textId="77777777" w:rsidR="00795CDD" w:rsidRPr="00795CDD" w:rsidRDefault="00795CDD" w:rsidP="00795CDD">
      <w:pPr>
        <w:widowControl/>
        <w:numPr>
          <w:ilvl w:val="0"/>
          <w:numId w:val="15"/>
        </w:numPr>
        <w:autoSpaceDE/>
        <w:autoSpaceDN/>
        <w:spacing w:line="312" w:lineRule="auto"/>
        <w:rPr>
          <w:rFonts w:ascii="Arial" w:hAnsi="Arial" w:cs="Arial"/>
          <w:i/>
          <w:sz w:val="24"/>
          <w:szCs w:val="24"/>
        </w:rPr>
      </w:pPr>
      <w:r w:rsidRPr="00795CDD">
        <w:rPr>
          <w:rFonts w:ascii="Arial" w:hAnsi="Arial" w:cs="Arial"/>
        </w:rPr>
        <w:t xml:space="preserve">The provider and staff follow protocol for emergency events, including signaling to staff for assistance in contacting emergency services and appropriate law enforcement if needed. </w:t>
      </w:r>
      <w:r w:rsidRPr="00795CDD">
        <w:rPr>
          <w:rFonts w:ascii="Arial" w:hAnsi="Arial" w:cs="Arial"/>
          <w:i/>
        </w:rPr>
        <w:t>(See Clinical: Ch. 19 – Automated External Defibrillator and Cardiopulmonary Resuscitation)</w:t>
      </w:r>
    </w:p>
    <w:p w14:paraId="7EB852DC" w14:textId="77777777" w:rsidR="00795CDD" w:rsidRPr="00795CDD" w:rsidRDefault="00795CDD" w:rsidP="00795CDD">
      <w:pPr>
        <w:pStyle w:val="ListParagraph"/>
        <w:widowControl/>
        <w:numPr>
          <w:ilvl w:val="0"/>
          <w:numId w:val="16"/>
        </w:numPr>
        <w:autoSpaceDE/>
        <w:autoSpaceDN/>
        <w:spacing w:after="120" w:line="312" w:lineRule="auto"/>
        <w:ind w:left="720"/>
        <w:contextualSpacing/>
        <w:rPr>
          <w:rFonts w:ascii="Arial" w:hAnsi="Arial" w:cs="Arial"/>
        </w:rPr>
      </w:pPr>
      <w:r w:rsidRPr="00795CDD">
        <w:rPr>
          <w:rFonts w:ascii="Arial" w:hAnsi="Arial" w:cs="Arial"/>
        </w:rPr>
        <w:t>Staff or the provider stay with the patient until the appropriate steps are taken.</w:t>
      </w:r>
    </w:p>
    <w:p w14:paraId="004FCD11" w14:textId="77777777" w:rsidR="00795CDD" w:rsidRPr="00795CDD" w:rsidRDefault="00795CDD" w:rsidP="00795CDD">
      <w:pPr>
        <w:pStyle w:val="ListParagraph"/>
        <w:widowControl/>
        <w:numPr>
          <w:ilvl w:val="0"/>
          <w:numId w:val="16"/>
        </w:numPr>
        <w:autoSpaceDE/>
        <w:autoSpaceDN/>
        <w:spacing w:after="120" w:line="312" w:lineRule="auto"/>
        <w:ind w:left="720"/>
        <w:contextualSpacing/>
        <w:rPr>
          <w:rFonts w:ascii="Arial" w:hAnsi="Arial" w:cs="Arial"/>
        </w:rPr>
      </w:pPr>
      <w:r w:rsidRPr="00795CDD">
        <w:rPr>
          <w:rFonts w:ascii="Arial" w:hAnsi="Arial" w:cs="Arial"/>
        </w:rPr>
        <w:t>Staff informs the distant site (e.g., specialty site) about the events and outcomes once the patient is safe.</w:t>
      </w:r>
    </w:p>
    <w:p w14:paraId="107AC47E" w14:textId="77777777" w:rsidR="00795CDD" w:rsidRPr="00795CDD" w:rsidRDefault="00795CDD" w:rsidP="00795CDD">
      <w:pPr>
        <w:pStyle w:val="ListParagraph"/>
        <w:widowControl/>
        <w:numPr>
          <w:ilvl w:val="0"/>
          <w:numId w:val="14"/>
        </w:numPr>
        <w:autoSpaceDE/>
        <w:autoSpaceDN/>
        <w:spacing w:after="120" w:line="312" w:lineRule="auto"/>
        <w:ind w:left="360"/>
        <w:contextualSpacing/>
        <w:rPr>
          <w:rFonts w:ascii="Arial" w:hAnsi="Arial" w:cs="Arial"/>
        </w:rPr>
      </w:pPr>
      <w:r w:rsidRPr="00795CDD">
        <w:rPr>
          <w:rFonts w:ascii="Arial" w:hAnsi="Arial" w:cs="Arial"/>
        </w:rPr>
        <w:t>If the patient needs to be hospitalized, staff:</w:t>
      </w:r>
    </w:p>
    <w:p w14:paraId="50D0DBE8" w14:textId="1193B72E" w:rsidR="00795CDD" w:rsidRDefault="00795CDD" w:rsidP="00795CDD">
      <w:pPr>
        <w:pStyle w:val="ListParagraph"/>
        <w:widowControl/>
        <w:numPr>
          <w:ilvl w:val="0"/>
          <w:numId w:val="17"/>
        </w:numPr>
        <w:autoSpaceDE/>
        <w:autoSpaceDN/>
        <w:spacing w:after="120" w:line="312" w:lineRule="auto"/>
        <w:ind w:left="720"/>
        <w:contextualSpacing/>
        <w:rPr>
          <w:rFonts w:ascii="Arial" w:hAnsi="Arial" w:cs="Arial"/>
        </w:rPr>
      </w:pPr>
      <w:r w:rsidRPr="00795CDD">
        <w:rPr>
          <w:rFonts w:ascii="Arial" w:hAnsi="Arial" w:cs="Arial"/>
        </w:rPr>
        <w:t>Inform the patient</w:t>
      </w:r>
    </w:p>
    <w:p w14:paraId="6AE70F4A" w14:textId="39C22AE5" w:rsidR="00795CDD" w:rsidRDefault="00795CDD" w:rsidP="00795CDD">
      <w:pPr>
        <w:pStyle w:val="ListParagraph"/>
        <w:widowControl/>
        <w:autoSpaceDE/>
        <w:autoSpaceDN/>
        <w:spacing w:after="120" w:line="312" w:lineRule="auto"/>
        <w:ind w:left="720" w:hanging="360"/>
        <w:contextualSpacing/>
        <w:rPr>
          <w:rFonts w:ascii="Arial" w:hAnsi="Arial" w:cs="Arial"/>
        </w:rPr>
      </w:pPr>
    </w:p>
    <w:p w14:paraId="68F46157" w14:textId="77777777" w:rsidR="00443656" w:rsidRPr="00795CDD" w:rsidRDefault="00443656" w:rsidP="00795CDD">
      <w:pPr>
        <w:pStyle w:val="ListParagraph"/>
        <w:widowControl/>
        <w:autoSpaceDE/>
        <w:autoSpaceDN/>
        <w:spacing w:after="120" w:line="312" w:lineRule="auto"/>
        <w:ind w:left="720" w:hanging="360"/>
        <w:contextualSpacing/>
        <w:rPr>
          <w:rFonts w:ascii="Arial" w:hAnsi="Arial" w:cs="Arial"/>
        </w:rPr>
      </w:pPr>
    </w:p>
    <w:p w14:paraId="77913C16" w14:textId="77777777" w:rsidR="00795CDD" w:rsidRPr="00795CDD" w:rsidRDefault="00795CDD" w:rsidP="00795CDD">
      <w:pPr>
        <w:pStyle w:val="ListParagraph"/>
        <w:widowControl/>
        <w:numPr>
          <w:ilvl w:val="0"/>
          <w:numId w:val="17"/>
        </w:numPr>
        <w:autoSpaceDE/>
        <w:autoSpaceDN/>
        <w:spacing w:after="120" w:line="312" w:lineRule="auto"/>
        <w:ind w:left="720" w:right="2600"/>
        <w:contextualSpacing/>
        <w:rPr>
          <w:rFonts w:ascii="Arial" w:hAnsi="Arial" w:cs="Arial"/>
        </w:rPr>
      </w:pPr>
      <w:r w:rsidRPr="00795CDD">
        <w:rPr>
          <w:rFonts w:ascii="Arial" w:hAnsi="Arial" w:cs="Arial"/>
        </w:rPr>
        <w:lastRenderedPageBreak/>
        <w:t xml:space="preserve">Contact the facility to which patient will be taken to provide patient demographic information and a brief summary of events  </w:t>
      </w:r>
    </w:p>
    <w:p w14:paraId="399C3219" w14:textId="77777777" w:rsidR="00795CDD" w:rsidRDefault="00795CDD" w:rsidP="00795CDD">
      <w:pPr>
        <w:pStyle w:val="ListParagraph"/>
        <w:widowControl/>
        <w:numPr>
          <w:ilvl w:val="0"/>
          <w:numId w:val="17"/>
        </w:numPr>
        <w:autoSpaceDE/>
        <w:autoSpaceDN/>
        <w:spacing w:after="120" w:line="312" w:lineRule="auto"/>
        <w:ind w:left="720" w:right="2600"/>
        <w:contextualSpacing/>
        <w:rPr>
          <w:rFonts w:ascii="Arial" w:hAnsi="Arial" w:cs="Arial"/>
        </w:rPr>
      </w:pPr>
      <w:r w:rsidRPr="00795CDD">
        <w:rPr>
          <w:rFonts w:ascii="Arial" w:hAnsi="Arial" w:cs="Arial"/>
        </w:rPr>
        <w:t>Prepare and provide the medical record electronically to the facility or send it with the patient</w:t>
      </w:r>
    </w:p>
    <w:p w14:paraId="6E81353A" w14:textId="77777777" w:rsidR="00795CDD" w:rsidRDefault="00795CDD" w:rsidP="00795CDD">
      <w:pPr>
        <w:pStyle w:val="ListParagraph"/>
        <w:widowControl/>
        <w:numPr>
          <w:ilvl w:val="0"/>
          <w:numId w:val="17"/>
        </w:numPr>
        <w:autoSpaceDE/>
        <w:autoSpaceDN/>
        <w:spacing w:after="120" w:line="312" w:lineRule="auto"/>
        <w:ind w:left="720"/>
        <w:contextualSpacing/>
        <w:rPr>
          <w:rFonts w:ascii="Arial" w:hAnsi="Arial" w:cs="Arial"/>
        </w:rPr>
      </w:pPr>
      <w:r w:rsidRPr="00795CDD">
        <w:rPr>
          <w:rFonts w:ascii="Arial" w:hAnsi="Arial" w:cs="Arial"/>
        </w:rPr>
        <w:t>Ensure safe transport to the facility, providing an address and directions, if needed, and any instructions regarding where to go and what to expect upon arrival</w:t>
      </w:r>
    </w:p>
    <w:p w14:paraId="3D7B27E8" w14:textId="7E286395" w:rsidR="00795CDD" w:rsidRPr="00795CDD" w:rsidRDefault="00795CDD" w:rsidP="00795CDD">
      <w:pPr>
        <w:pStyle w:val="ListParagraph"/>
        <w:widowControl/>
        <w:numPr>
          <w:ilvl w:val="0"/>
          <w:numId w:val="17"/>
        </w:numPr>
        <w:autoSpaceDE/>
        <w:autoSpaceDN/>
        <w:spacing w:after="120" w:line="312" w:lineRule="auto"/>
        <w:ind w:left="720"/>
        <w:contextualSpacing/>
        <w:rPr>
          <w:rFonts w:ascii="Arial" w:hAnsi="Arial" w:cs="Arial"/>
        </w:rPr>
      </w:pPr>
      <w:r w:rsidRPr="00795CDD">
        <w:rPr>
          <w:rFonts w:ascii="Arial" w:hAnsi="Arial" w:cs="Arial"/>
        </w:rPr>
        <w:t>Follow up with the facility to determine disposition</w:t>
      </w:r>
    </w:p>
    <w:p w14:paraId="39A6F146" w14:textId="38B6B950" w:rsidR="00195899" w:rsidRPr="00795CDD" w:rsidRDefault="00795CDD" w:rsidP="00795CDD">
      <w:pPr>
        <w:pStyle w:val="ListParagraph"/>
        <w:widowControl/>
        <w:numPr>
          <w:ilvl w:val="1"/>
          <w:numId w:val="8"/>
        </w:numPr>
        <w:autoSpaceDE/>
        <w:autoSpaceDN/>
        <w:spacing w:after="120" w:line="312" w:lineRule="auto"/>
        <w:ind w:left="360"/>
        <w:contextualSpacing/>
        <w:rPr>
          <w:rFonts w:ascii="Arial" w:hAnsi="Arial" w:cs="Arial"/>
        </w:rPr>
      </w:pPr>
      <w:r w:rsidRPr="00795CDD">
        <w:rPr>
          <w:rFonts w:ascii="Arial" w:hAnsi="Arial" w:cs="Arial"/>
        </w:rPr>
        <w:t>Document events in the patient’s medical record</w:t>
      </w:r>
    </w:p>
    <w:p w14:paraId="28669D33" w14:textId="304FF177" w:rsidR="00A53C31" w:rsidRPr="00E42ECD" w:rsidRDefault="00A53C31" w:rsidP="00195899">
      <w:pPr>
        <w:spacing w:after="120" w:line="300" w:lineRule="auto"/>
        <w:rPr>
          <w:rFonts w:ascii="Arial" w:hAnsi="Arial" w:cs="Arial"/>
        </w:rPr>
      </w:pPr>
    </w:p>
    <w:sectPr w:rsidR="00A53C31" w:rsidRPr="00E42ECD" w:rsidSect="000E49C8">
      <w:headerReference w:type="default" r:id="rId8"/>
      <w:footerReference w:type="default" r:id="rId9"/>
      <w:type w:val="continuous"/>
      <w:pgSz w:w="12240" w:h="15840"/>
      <w:pgMar w:top="518" w:right="864" w:bottom="27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4995" w14:textId="77777777" w:rsidR="00D04A59" w:rsidRDefault="00D04A59" w:rsidP="00165220">
      <w:r>
        <w:separator/>
      </w:r>
    </w:p>
  </w:endnote>
  <w:endnote w:type="continuationSeparator" w:id="0">
    <w:p w14:paraId="2E41FEDB" w14:textId="77777777" w:rsidR="00D04A59" w:rsidRDefault="00D04A59"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45 Light">
    <w:panose1 w:val="020B07030305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443656" w14:paraId="3C67B1C0" w14:textId="77777777" w:rsidTr="00D928B3">
      <w:trPr>
        <w:trHeight w:val="472"/>
        <w:jc w:val="center"/>
      </w:trPr>
      <w:tc>
        <w:tcPr>
          <w:tcW w:w="5003" w:type="dxa"/>
        </w:tcPr>
        <w:p w14:paraId="452DDE7B" w14:textId="77777777" w:rsidR="00D928B3" w:rsidRPr="00443656" w:rsidRDefault="00D928B3" w:rsidP="00D928B3">
          <w:pPr>
            <w:spacing w:after="120" w:line="288" w:lineRule="auto"/>
            <w:rPr>
              <w:rFonts w:ascii="Arial" w:hAnsi="Arial" w:cs="Arial"/>
              <w:sz w:val="18"/>
              <w:szCs w:val="18"/>
            </w:rPr>
          </w:pPr>
          <w:r w:rsidRPr="00443656">
            <w:rPr>
              <w:rFonts w:ascii="Arial" w:hAnsi="Arial" w:cs="Arial"/>
              <w:b/>
              <w:noProof/>
              <w:sz w:val="18"/>
              <w:szCs w:val="18"/>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443656">
            <w:rPr>
              <w:rFonts w:ascii="Arial" w:hAnsi="Arial" w:cs="Arial"/>
              <w:b/>
              <w:sz w:val="18"/>
              <w:szCs w:val="18"/>
            </w:rPr>
            <w:t>Approved by:</w:t>
          </w:r>
        </w:p>
      </w:tc>
      <w:tc>
        <w:tcPr>
          <w:tcW w:w="2767" w:type="dxa"/>
        </w:tcPr>
        <w:p w14:paraId="0BBCFC76" w14:textId="7A2C6219" w:rsidR="00D928B3" w:rsidRPr="00443656" w:rsidRDefault="00D928B3" w:rsidP="00D928B3">
          <w:pPr>
            <w:tabs>
              <w:tab w:val="right" w:pos="2276"/>
            </w:tabs>
            <w:spacing w:after="120" w:line="288" w:lineRule="auto"/>
            <w:rPr>
              <w:rFonts w:ascii="Arial" w:hAnsi="Arial" w:cs="Arial"/>
              <w:sz w:val="18"/>
              <w:szCs w:val="18"/>
            </w:rPr>
          </w:pPr>
          <w:r w:rsidRPr="00443656">
            <w:rPr>
              <w:rFonts w:ascii="Arial" w:hAnsi="Arial" w:cs="Arial"/>
              <w:b/>
              <w:noProof/>
              <w:sz w:val="18"/>
              <w:szCs w:val="18"/>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443656">
            <w:rPr>
              <w:rFonts w:ascii="Arial" w:hAnsi="Arial" w:cs="Arial"/>
              <w:b/>
              <w:sz w:val="18"/>
              <w:szCs w:val="18"/>
            </w:rPr>
            <w:t>Effective:</w:t>
          </w:r>
          <w:r w:rsidRPr="00443656">
            <w:rPr>
              <w:rFonts w:ascii="Arial" w:hAnsi="Arial" w:cs="Arial"/>
              <w:sz w:val="18"/>
              <w:szCs w:val="18"/>
            </w:rPr>
            <w:t xml:space="preserve"> </w:t>
          </w:r>
          <w:r w:rsidRPr="00443656">
            <w:rPr>
              <w:rFonts w:ascii="Arial" w:hAnsi="Arial" w:cs="Arial"/>
              <w:sz w:val="18"/>
              <w:szCs w:val="18"/>
            </w:rPr>
            <w:tab/>
          </w:r>
        </w:p>
      </w:tc>
      <w:tc>
        <w:tcPr>
          <w:tcW w:w="2574" w:type="dxa"/>
        </w:tcPr>
        <w:p w14:paraId="6C2E044B" w14:textId="5E1DF3E5" w:rsidR="00D928B3" w:rsidRPr="00443656" w:rsidRDefault="00D928B3" w:rsidP="00D928B3">
          <w:pPr>
            <w:spacing w:after="120" w:line="288" w:lineRule="auto"/>
            <w:rPr>
              <w:rFonts w:ascii="Arial" w:hAnsi="Arial" w:cs="Arial"/>
              <w:sz w:val="18"/>
              <w:szCs w:val="18"/>
            </w:rPr>
          </w:pPr>
          <w:r w:rsidRPr="00443656">
            <w:rPr>
              <w:rFonts w:ascii="Arial" w:hAnsi="Arial" w:cs="Arial"/>
              <w:b/>
              <w:noProof/>
              <w:sz w:val="18"/>
              <w:szCs w:val="18"/>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443656">
            <w:rPr>
              <w:rFonts w:ascii="Arial" w:hAnsi="Arial" w:cs="Arial"/>
              <w:b/>
              <w:sz w:val="18"/>
              <w:szCs w:val="18"/>
            </w:rPr>
            <w:t>Revised:</w:t>
          </w:r>
          <w:r w:rsidRPr="00443656">
            <w:rPr>
              <w:rFonts w:ascii="Arial" w:hAnsi="Arial" w:cs="Arial"/>
              <w:sz w:val="18"/>
              <w:szCs w:val="18"/>
            </w:rPr>
            <w:t xml:space="preserve"> </w:t>
          </w:r>
        </w:p>
      </w:tc>
    </w:tr>
  </w:tbl>
  <w:p w14:paraId="07B3D54D" w14:textId="0207BD45" w:rsidR="00165220" w:rsidRPr="00443656" w:rsidRDefault="009D42FE" w:rsidP="00926822">
    <w:pPr>
      <w:spacing w:before="80" w:after="120"/>
      <w:jc w:val="center"/>
      <w:rPr>
        <w:rFonts w:ascii="Arial" w:hAnsi="Arial" w:cs="Arial"/>
        <w:b/>
        <w:bCs/>
        <w:sz w:val="18"/>
        <w:szCs w:val="18"/>
      </w:rPr>
    </w:pPr>
    <w:r w:rsidRPr="00443656">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r w:rsidR="00926822" w:rsidRPr="00443656">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8"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165220" w:rsidRPr="00443656">
      <w:rPr>
        <w:rFonts w:ascii="Arial" w:hAnsi="Arial" w:cs="Arial"/>
        <w:b/>
        <w:bCs/>
        <w:sz w:val="18"/>
        <w:szCs w:val="18"/>
      </w:rPr>
      <w:t xml:space="preserve">© 2019 Texas Medical Association.  </w:t>
    </w:r>
    <w:r w:rsidR="00165220" w:rsidRPr="00443656">
      <w:rPr>
        <w:rFonts w:ascii="Arial" w:hAnsi="Arial" w:cs="Arial"/>
        <w:b/>
        <w:bCs/>
        <w:color w:val="000000"/>
        <w:sz w:val="18"/>
        <w:szCs w:val="18"/>
        <w:lang w:val="en-GB" w:eastAsia="en-GB"/>
      </w:rPr>
      <w:t>All rights reserved.</w:t>
    </w:r>
  </w:p>
  <w:p w14:paraId="407C0BC2" w14:textId="1DB892DD" w:rsidR="00A4307F" w:rsidRPr="00443656" w:rsidRDefault="006109FB" w:rsidP="00926822">
    <w:pPr>
      <w:pStyle w:val="BodyText"/>
      <w:jc w:val="right"/>
      <w:rPr>
        <w:rFonts w:ascii="Arial" w:hAnsi="Arial" w:cs="Arial"/>
        <w:color w:val="231F20"/>
        <w:sz w:val="18"/>
        <w:szCs w:val="18"/>
      </w:rPr>
    </w:pPr>
    <w:r w:rsidRPr="00443656">
      <w:rPr>
        <w:rFonts w:ascii="Arial" w:hAnsi="Arial" w:cs="Arial"/>
        <w:color w:val="231F20"/>
        <w:sz w:val="18"/>
        <w:szCs w:val="18"/>
      </w:rPr>
      <w:t>The Texas Medical Associatio</w:t>
    </w:r>
    <w:r w:rsidR="001B1218" w:rsidRPr="00443656">
      <w:rPr>
        <w:rFonts w:ascii="Arial" w:hAnsi="Arial" w:cs="Arial"/>
        <w:color w:val="231F20"/>
        <w:sz w:val="18"/>
        <w:szCs w:val="18"/>
      </w:rPr>
      <w:t>n acknowledges</w:t>
    </w:r>
    <w:r w:rsidRPr="00443656">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443656" w:rsidRDefault="00926822" w:rsidP="00926822">
    <w:pPr>
      <w:pStyle w:val="BodyText"/>
      <w:rPr>
        <w:rFonts w:ascii="Arial" w:hAnsi="Arial" w:cs="Arial"/>
        <w:b/>
        <w:bCs/>
        <w:color w:val="231F20"/>
        <w:spacing w:val="-3"/>
        <w:sz w:val="14"/>
        <w:szCs w:val="14"/>
      </w:rPr>
    </w:pPr>
    <w:r w:rsidRPr="00443656">
      <w:rPr>
        <w:rFonts w:ascii="Arial" w:hAnsi="Arial" w:cs="Arial"/>
        <w:b/>
        <w:bCs/>
        <w:color w:val="231F20"/>
        <w:spacing w:val="-3"/>
        <w:sz w:val="14"/>
        <w:szCs w:val="14"/>
      </w:rPr>
      <w:br/>
    </w:r>
  </w:p>
  <w:p w14:paraId="41DBBD32" w14:textId="2E5A1087" w:rsidR="00A4307F" w:rsidRPr="00443656" w:rsidRDefault="00050DC9" w:rsidP="00050DC9">
    <w:pPr>
      <w:pStyle w:val="BodyText"/>
      <w:rPr>
        <w:rFonts w:ascii="Arial" w:hAnsi="Arial" w:cs="Arial"/>
        <w:b/>
        <w:bCs/>
        <w:sz w:val="14"/>
        <w:szCs w:val="14"/>
      </w:rPr>
    </w:pPr>
    <w:r w:rsidRPr="00443656">
      <w:rPr>
        <w:rFonts w:ascii="Arial" w:hAnsi="Arial" w:cs="Arial"/>
        <w:b/>
        <w:bCs/>
        <w:noProof/>
        <w:sz w:val="13"/>
        <w:szCs w:val="13"/>
      </w:rPr>
      <w:t>NOTICE</w:t>
    </w:r>
    <w:r w:rsidRPr="00443656">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443656">
      <w:rPr>
        <w:rFonts w:ascii="Arial" w:hAnsi="Arial" w:cs="Arial"/>
        <w:b/>
        <w:bCs/>
        <w:noProof/>
        <w:sz w:val="13"/>
        <w:szCs w:val="13"/>
        <w:u w:val="single"/>
      </w:rPr>
      <w:t>This is not a substitute for the advice of an attorney</w:t>
    </w:r>
    <w:r w:rsidRPr="00443656">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443656">
      <w:rPr>
        <w:noProof/>
        <w:sz w:val="14"/>
        <w:szCs w:val="14"/>
      </w:rPr>
      <w:br/>
    </w:r>
    <w:r w:rsidRPr="00443656">
      <w:rPr>
        <w:noProof/>
        <w:sz w:val="14"/>
        <w:szCs w:val="14"/>
      </w:rPr>
      <w:br/>
    </w:r>
    <w:r w:rsidR="00A4307F" w:rsidRPr="00443656">
      <w:rPr>
        <w:rFonts w:ascii="Arial" w:hAnsi="Arial" w:cs="Arial"/>
        <w:b/>
        <w:bCs/>
        <w:color w:val="231F20"/>
        <w:spacing w:val="-3"/>
        <w:sz w:val="14"/>
        <w:szCs w:val="14"/>
      </w:rPr>
      <w:t xml:space="preserve">RELEASED: </w:t>
    </w:r>
    <w:r w:rsidR="00A4307F" w:rsidRPr="00443656">
      <w:rPr>
        <w:rFonts w:ascii="Arial" w:hAnsi="Arial" w:cs="Arial"/>
        <w:b/>
        <w:bCs/>
        <w:color w:val="231F20"/>
        <w:sz w:val="14"/>
        <w:szCs w:val="14"/>
      </w:rPr>
      <w:t>March 2020</w:t>
    </w:r>
    <w:r w:rsidR="00A4307F" w:rsidRPr="00443656">
      <w:rPr>
        <w:rFonts w:ascii="Arial" w:hAnsi="Arial" w:cs="Arial"/>
        <w:b/>
        <w:bCs/>
        <w:sz w:val="14"/>
        <w:szCs w:val="14"/>
      </w:rPr>
      <w:t xml:space="preserve">, </w:t>
    </w:r>
    <w:r w:rsidR="00A4307F" w:rsidRPr="00443656">
      <w:rPr>
        <w:rFonts w:ascii="Arial" w:hAnsi="Arial" w:cs="Arial"/>
        <w:b/>
        <w:bCs/>
        <w:color w:val="231F20"/>
        <w:sz w:val="14"/>
        <w:szCs w:val="14"/>
      </w:rPr>
      <w:t>Texas Medical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DD67" w14:textId="77777777" w:rsidR="00D04A59" w:rsidRDefault="00D04A59" w:rsidP="00165220">
      <w:r>
        <w:separator/>
      </w:r>
    </w:p>
  </w:footnote>
  <w:footnote w:type="continuationSeparator" w:id="0">
    <w:p w14:paraId="3464808A" w14:textId="77777777" w:rsidR="00D04A59" w:rsidRDefault="00D04A59"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7A6A" w14:textId="121A5DAD" w:rsidR="00195899" w:rsidRPr="008626E7" w:rsidRDefault="00C73FE3" w:rsidP="00D928B3">
    <w:pPr>
      <w:ind w:left="418" w:right="-1670"/>
      <w:rPr>
        <w:rFonts w:ascii="Garamond"/>
        <w:b/>
        <w:color w:val="231F20"/>
        <w:w w:val="95"/>
        <w:sz w:val="56"/>
        <w:szCs w:val="18"/>
      </w:rPr>
    </w:pPr>
    <w:r>
      <w:rPr>
        <w:noProof/>
      </w:rPr>
      <w:drawing>
        <wp:anchor distT="0" distB="0" distL="114300" distR="114300" simplePos="0" relativeHeight="251669504" behindDoc="0" locked="0" layoutInCell="1" allowOverlap="1" wp14:anchorId="188860A2" wp14:editId="58E82820">
          <wp:simplePos x="0" y="0"/>
          <wp:positionH relativeFrom="margin">
            <wp:posOffset>5541010</wp:posOffset>
          </wp:positionH>
          <wp:positionV relativeFrom="paragraph">
            <wp:posOffset>15766</wp:posOffset>
          </wp:positionV>
          <wp:extent cx="1143000" cy="69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11CD7551">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AC8F"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807468">
      <w:rPr>
        <w:rFonts w:ascii="Garamond"/>
        <w:b/>
        <w:color w:val="231F20"/>
        <w:w w:val="95"/>
        <w:sz w:val="56"/>
        <w:szCs w:val="56"/>
      </w:rPr>
      <w:t>Security and Engagement</w:t>
    </w:r>
    <w:r w:rsidR="00807468">
      <w:rPr>
        <w:rFonts w:ascii="Garamond"/>
        <w:b/>
        <w:color w:val="231F20"/>
        <w:w w:val="95"/>
        <w:sz w:val="56"/>
        <w:szCs w:val="56"/>
      </w:rPr>
      <w:br/>
    </w:r>
    <w:r w:rsidR="00807468">
      <w:rPr>
        <w:rFonts w:ascii="Garamond"/>
        <w:b/>
        <w:color w:val="231F20"/>
        <w:w w:val="95"/>
        <w:sz w:val="56"/>
        <w:szCs w:val="18"/>
      </w:rPr>
      <w:t>Protocol</w:t>
    </w:r>
  </w:p>
  <w:p w14:paraId="6228933A" w14:textId="2584585E" w:rsidR="00FF6B81" w:rsidRPr="00FF6B81" w:rsidRDefault="00FF6B81" w:rsidP="00FF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8DB"/>
    <w:multiLevelType w:val="hybridMultilevel"/>
    <w:tmpl w:val="847C01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17B3"/>
    <w:multiLevelType w:val="hybridMultilevel"/>
    <w:tmpl w:val="C5CCD6C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4F0B77"/>
    <w:multiLevelType w:val="hybridMultilevel"/>
    <w:tmpl w:val="ACEA08FA"/>
    <w:lvl w:ilvl="0" w:tplc="E3306E58">
      <w:start w:val="1"/>
      <w:numFmt w:val="bullet"/>
      <w:lvlText w:val=""/>
      <w:lvlJc w:val="left"/>
      <w:pPr>
        <w:ind w:left="1080" w:hanging="360"/>
      </w:pPr>
      <w:rPr>
        <w:rFonts w:ascii="Symbol" w:hAnsi="Symbo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AF1179F"/>
    <w:multiLevelType w:val="hybridMultilevel"/>
    <w:tmpl w:val="E6E0D79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EE2410E"/>
    <w:multiLevelType w:val="hybridMultilevel"/>
    <w:tmpl w:val="D1CAC330"/>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E44BA0"/>
    <w:multiLevelType w:val="hybridMultilevel"/>
    <w:tmpl w:val="057A813C"/>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551632"/>
    <w:multiLevelType w:val="hybridMultilevel"/>
    <w:tmpl w:val="51B87B9E"/>
    <w:lvl w:ilvl="0" w:tplc="04090003">
      <w:start w:val="1"/>
      <w:numFmt w:val="bullet"/>
      <w:lvlText w:val="o"/>
      <w:lvlJc w:val="left"/>
      <w:pPr>
        <w:ind w:left="1080" w:hanging="360"/>
      </w:pPr>
      <w:rPr>
        <w:rFonts w:ascii="Courier New" w:hAnsi="Courier New" w:cs="Courier New"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034046A"/>
    <w:multiLevelType w:val="hybridMultilevel"/>
    <w:tmpl w:val="F0B4A972"/>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3928DB"/>
    <w:multiLevelType w:val="hybridMultilevel"/>
    <w:tmpl w:val="E75C3A6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BA021E0"/>
    <w:multiLevelType w:val="hybridMultilevel"/>
    <w:tmpl w:val="174E6F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F240999"/>
    <w:multiLevelType w:val="hybridMultilevel"/>
    <w:tmpl w:val="AAF64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E0022F7"/>
    <w:multiLevelType w:val="hybridMultilevel"/>
    <w:tmpl w:val="0D0279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ECF256D"/>
    <w:multiLevelType w:val="hybridMultilevel"/>
    <w:tmpl w:val="AE96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5"/>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C41AC"/>
    <w:rsid w:val="000E4298"/>
    <w:rsid w:val="000E49C8"/>
    <w:rsid w:val="00106515"/>
    <w:rsid w:val="00165220"/>
    <w:rsid w:val="00195899"/>
    <w:rsid w:val="001B1218"/>
    <w:rsid w:val="001B1C4D"/>
    <w:rsid w:val="00261A2A"/>
    <w:rsid w:val="002809AA"/>
    <w:rsid w:val="00293A1F"/>
    <w:rsid w:val="002951F6"/>
    <w:rsid w:val="002E1104"/>
    <w:rsid w:val="00303585"/>
    <w:rsid w:val="00341620"/>
    <w:rsid w:val="00393172"/>
    <w:rsid w:val="003A29E1"/>
    <w:rsid w:val="004346C2"/>
    <w:rsid w:val="00443656"/>
    <w:rsid w:val="00460B15"/>
    <w:rsid w:val="00483F0C"/>
    <w:rsid w:val="004E721E"/>
    <w:rsid w:val="004F4CBD"/>
    <w:rsid w:val="005032DC"/>
    <w:rsid w:val="005116A7"/>
    <w:rsid w:val="00565806"/>
    <w:rsid w:val="005E18F0"/>
    <w:rsid w:val="005E367D"/>
    <w:rsid w:val="006109FB"/>
    <w:rsid w:val="006166ED"/>
    <w:rsid w:val="00660BD7"/>
    <w:rsid w:val="006A586F"/>
    <w:rsid w:val="006F5376"/>
    <w:rsid w:val="00743CD6"/>
    <w:rsid w:val="00795CDD"/>
    <w:rsid w:val="00807468"/>
    <w:rsid w:val="00817A9C"/>
    <w:rsid w:val="008626E7"/>
    <w:rsid w:val="00896101"/>
    <w:rsid w:val="00902C21"/>
    <w:rsid w:val="00926822"/>
    <w:rsid w:val="00934E8F"/>
    <w:rsid w:val="00987395"/>
    <w:rsid w:val="009D42FE"/>
    <w:rsid w:val="00A13CFE"/>
    <w:rsid w:val="00A4307F"/>
    <w:rsid w:val="00A53C31"/>
    <w:rsid w:val="00A87134"/>
    <w:rsid w:val="00A97412"/>
    <w:rsid w:val="00B06870"/>
    <w:rsid w:val="00C73FE3"/>
    <w:rsid w:val="00CF2AB1"/>
    <w:rsid w:val="00D04A59"/>
    <w:rsid w:val="00D25BD3"/>
    <w:rsid w:val="00D6243A"/>
    <w:rsid w:val="00D87C4D"/>
    <w:rsid w:val="00D928B3"/>
    <w:rsid w:val="00E42ECD"/>
    <w:rsid w:val="00EA6402"/>
    <w:rsid w:val="00F15D98"/>
    <w:rsid w:val="00F17BAE"/>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1838">
      <w:bodyDiv w:val="1"/>
      <w:marLeft w:val="0"/>
      <w:marRight w:val="0"/>
      <w:marTop w:val="0"/>
      <w:marBottom w:val="0"/>
      <w:divBdr>
        <w:top w:val="none" w:sz="0" w:space="0" w:color="auto"/>
        <w:left w:val="none" w:sz="0" w:space="0" w:color="auto"/>
        <w:bottom w:val="none" w:sz="0" w:space="0" w:color="auto"/>
        <w:right w:val="none" w:sz="0" w:space="0" w:color="auto"/>
      </w:divBdr>
    </w:div>
    <w:div w:id="957874639">
      <w:bodyDiv w:val="1"/>
      <w:marLeft w:val="0"/>
      <w:marRight w:val="0"/>
      <w:marTop w:val="0"/>
      <w:marBottom w:val="0"/>
      <w:divBdr>
        <w:top w:val="none" w:sz="0" w:space="0" w:color="auto"/>
        <w:left w:val="none" w:sz="0" w:space="0" w:color="auto"/>
        <w:bottom w:val="none" w:sz="0" w:space="0" w:color="auto"/>
        <w:right w:val="none" w:sz="0" w:space="0" w:color="auto"/>
      </w:divBdr>
    </w:div>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C3E5-9C44-457A-A23E-17867841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7</cp:revision>
  <cp:lastPrinted>2019-09-17T17:12:00Z</cp:lastPrinted>
  <dcterms:created xsi:type="dcterms:W3CDTF">2020-03-19T00:29:00Z</dcterms:created>
  <dcterms:modified xsi:type="dcterms:W3CDTF">2020-03-19T05:51:00Z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